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B69" w:rsidRDefault="006E5B69" w:rsidP="006E5B69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0F3CE9" wp14:editId="53A08FF5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B69" w:rsidRDefault="006E5B69" w:rsidP="006E5B6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6E5B69" w:rsidRDefault="006E5B69" w:rsidP="006E5B6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6E5B69" w:rsidRDefault="006E5B69" w:rsidP="006E5B6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6E5B69" w:rsidRDefault="006E5B69" w:rsidP="006E5B6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6E5B69" w:rsidRDefault="006E5B69" w:rsidP="006E5B6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6E5B69" w:rsidRDefault="006E5B69" w:rsidP="006E5B6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51BF97A0" wp14:editId="3E28A50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F1E3B" w:rsidRDefault="00D07ADA" w:rsidP="006C7B98">
      <w:pPr>
        <w:pStyle w:val="a4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D07ADA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Які дії платника у разі прийняття рішення про неврахування </w:t>
      </w:r>
    </w:p>
    <w:p w:rsidR="00D07ADA" w:rsidRDefault="00D07ADA" w:rsidP="006C7B98">
      <w:pPr>
        <w:pStyle w:val="a4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D07ADA">
        <w:rPr>
          <w:rFonts w:ascii="Times New Roman" w:hAnsi="Times New Roman" w:cs="Times New Roman"/>
          <w:b/>
          <w:sz w:val="28"/>
          <w:szCs w:val="28"/>
          <w:lang w:val="uk-UA" w:eastAsia="ru-RU"/>
        </w:rPr>
        <w:t>таблиці даних платника податку?</w:t>
      </w:r>
    </w:p>
    <w:p w:rsidR="00D07ADA" w:rsidRDefault="00D07ADA" w:rsidP="00D07ADA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</w:p>
    <w:p w:rsidR="00D07ADA" w:rsidRPr="006E5B69" w:rsidRDefault="00D07ADA" w:rsidP="006E5B69">
      <w:pPr>
        <w:pStyle w:val="a4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bookmarkStart w:id="1" w:name="_GoBack"/>
      <w:r w:rsidRPr="006E5B69">
        <w:rPr>
          <w:rFonts w:ascii="Times New Roman" w:hAnsi="Times New Roman" w:cs="Times New Roman"/>
          <w:sz w:val="28"/>
          <w:szCs w:val="28"/>
          <w:lang w:val="uk-UA" w:eastAsia="ru-RU"/>
        </w:rPr>
        <w:t>     Відповідно до п. 12 Порядку зупинення реєстрації податкової накладної/розрахунку коригування в Єдиному реєстрі податкових накладних, затвердженого постановою Кабінету Міністрів України від 11 грудня 2019 року № 1165 «Про затвердження порядків з питань зупинення реєстрації податкової накладної/розрахунку коригування в Єдиному реєстрі податкових накладних» (далі – Порядок), платник податку має право подати до ДПС таблицю даних платника податку на додану вартість (далі – Таблиця) за встановленою формою згідно з додатком 5 Порядку.      </w:t>
      </w:r>
    </w:p>
    <w:p w:rsidR="00D07ADA" w:rsidRPr="006E5B69" w:rsidRDefault="00D07ADA" w:rsidP="006E5B69">
      <w:pPr>
        <w:pStyle w:val="a4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6E5B69">
        <w:rPr>
          <w:rFonts w:ascii="Times New Roman" w:hAnsi="Times New Roman" w:cs="Times New Roman"/>
          <w:sz w:val="28"/>
          <w:szCs w:val="28"/>
          <w:lang w:val="uk-UA" w:eastAsia="ru-RU"/>
        </w:rPr>
        <w:t>Комісія регіонального рівня розглядає Таблицю з поясненнями протягом п’яти робочих днів після її отримання та приймає рішення про врахування або неврахування Таблиці, яке надсилається платнику податку в порядку, встановленому ст. 42 Податкового кодексу України від 02 грудня 2010 року № 2755-VІ із змінами та доповненнями (далі – ПКУ) (п. 15 та п. 16 Порядку).      </w:t>
      </w:r>
    </w:p>
    <w:p w:rsidR="00D07ADA" w:rsidRPr="006E5B69" w:rsidRDefault="00D07ADA" w:rsidP="006E5B69">
      <w:pPr>
        <w:pStyle w:val="a4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6E5B69">
        <w:rPr>
          <w:rFonts w:ascii="Times New Roman" w:hAnsi="Times New Roman" w:cs="Times New Roman"/>
          <w:sz w:val="28"/>
          <w:szCs w:val="28"/>
          <w:lang w:val="uk-UA" w:eastAsia="ru-RU"/>
        </w:rPr>
        <w:t>Відповідно до п. 17 Порядку у рішенні про неврахування Таблиці в обов’язковому порядку зазначається причина такого неврахування.     </w:t>
      </w:r>
    </w:p>
    <w:p w:rsidR="00D07ADA" w:rsidRPr="006E5B69" w:rsidRDefault="00D07ADA" w:rsidP="006E5B69">
      <w:pPr>
        <w:pStyle w:val="a4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6E5B69">
        <w:rPr>
          <w:rFonts w:ascii="Times New Roman" w:hAnsi="Times New Roman" w:cs="Times New Roman"/>
          <w:sz w:val="28"/>
          <w:szCs w:val="28"/>
          <w:lang w:val="uk-UA" w:eastAsia="ru-RU"/>
        </w:rPr>
        <w:t>У разі коли до контролюючого органу надійшла податкова інформація, що свідчить про надання платником податку недостовірної інформації, в Таблиці, яка врахована, у тому числі в автоматичному режимі, комісії контролюючих органів мають право прийняти рішення про неврахування Таблиці, яке надсилається платнику податку в порядку, визначеному ст.42 ПКУ.      </w:t>
      </w:r>
    </w:p>
    <w:p w:rsidR="006E5B69" w:rsidRPr="006E5B69" w:rsidRDefault="00D07ADA" w:rsidP="006E5B69">
      <w:pPr>
        <w:pStyle w:val="a4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6E5B69">
        <w:rPr>
          <w:rFonts w:ascii="Times New Roman" w:hAnsi="Times New Roman" w:cs="Times New Roman"/>
          <w:sz w:val="28"/>
          <w:szCs w:val="28"/>
          <w:lang w:val="uk-UA" w:eastAsia="ru-RU"/>
        </w:rPr>
        <w:t>Платник податку має право подати повторно Таблицю з поясненнями для розгляду комісією регіонального рівня та прийняття відповідного рішення</w:t>
      </w:r>
      <w:r w:rsidR="006E5B69" w:rsidRPr="006E5B69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bookmarkEnd w:id="1"/>
    <w:p w:rsidR="006E5B69" w:rsidRPr="006E5B69" w:rsidRDefault="006E5B69" w:rsidP="006E5B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5B69" w:rsidRPr="006E5B69" w:rsidRDefault="006E5B69" w:rsidP="006E5B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5B69" w:rsidRPr="006E5B69" w:rsidRDefault="006E5B69" w:rsidP="006E5B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5B69" w:rsidRPr="006E5B69" w:rsidRDefault="006E5B69" w:rsidP="006E5B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5B69" w:rsidRPr="006E5B69" w:rsidRDefault="006E5B69" w:rsidP="006E5B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5B69" w:rsidRPr="006E5B69" w:rsidRDefault="006E5B69" w:rsidP="006E5B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5B69" w:rsidRPr="006E5B69" w:rsidRDefault="006E5B69" w:rsidP="006E5B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5B69" w:rsidRPr="006E5B69" w:rsidRDefault="006E5B69" w:rsidP="006E5B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5B69" w:rsidRPr="006E5B69" w:rsidRDefault="006E5B69" w:rsidP="006E5B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5B69" w:rsidRPr="006E5B69" w:rsidRDefault="006E5B69" w:rsidP="006E5B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6E5B69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6E5B69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6E5B69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6E5B69">
          <w:rPr>
            <w:rStyle w:val="a7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6E5B69">
          <w:rPr>
            <w:rStyle w:val="a7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6E5B69">
          <w:rPr>
            <w:rStyle w:val="a7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6E5B69">
          <w:rPr>
            <w:rStyle w:val="a7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6E5B69" w:rsidRPr="00EA716F" w:rsidRDefault="006E5B69" w:rsidP="006E5B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7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6E5B69" w:rsidRPr="00F32254" w:rsidRDefault="006E5B69" w:rsidP="006E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D3C0B" w:rsidRPr="006E5B69" w:rsidRDefault="005D3C0B" w:rsidP="006C7B98">
      <w:pPr>
        <w:pStyle w:val="a4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5D3C0B" w:rsidRPr="006E5B69" w:rsidSect="005D3C0B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C0B"/>
    <w:rsid w:val="005D3C0B"/>
    <w:rsid w:val="005E36C7"/>
    <w:rsid w:val="006C7B98"/>
    <w:rsid w:val="006E5B69"/>
    <w:rsid w:val="007F1E3B"/>
    <w:rsid w:val="00C77E4F"/>
    <w:rsid w:val="00D0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C0B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5D3C0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uk-UA" w:eastAsia="uk-UA"/>
    </w:rPr>
  </w:style>
  <w:style w:type="paragraph" w:styleId="a4">
    <w:name w:val="No Spacing"/>
    <w:uiPriority w:val="1"/>
    <w:qFormat/>
    <w:rsid w:val="005D3C0B"/>
    <w:pPr>
      <w:spacing w:after="0" w:line="240" w:lineRule="auto"/>
    </w:pPr>
    <w:rPr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6E5B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5B69"/>
    <w:rPr>
      <w:rFonts w:ascii="Tahoma" w:hAnsi="Tahoma" w:cs="Tahoma"/>
      <w:sz w:val="16"/>
      <w:szCs w:val="16"/>
      <w:lang w:val="ru-RU"/>
    </w:rPr>
  </w:style>
  <w:style w:type="character" w:styleId="a7">
    <w:name w:val="Hyperlink"/>
    <w:uiPriority w:val="99"/>
    <w:rsid w:val="006E5B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C0B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5D3C0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uk-UA" w:eastAsia="uk-UA"/>
    </w:rPr>
  </w:style>
  <w:style w:type="paragraph" w:styleId="a4">
    <w:name w:val="No Spacing"/>
    <w:uiPriority w:val="1"/>
    <w:qFormat/>
    <w:rsid w:val="005D3C0B"/>
    <w:pPr>
      <w:spacing w:after="0" w:line="240" w:lineRule="auto"/>
    </w:pPr>
    <w:rPr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6E5B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5B69"/>
    <w:rPr>
      <w:rFonts w:ascii="Tahoma" w:hAnsi="Tahoma" w:cs="Tahoma"/>
      <w:sz w:val="16"/>
      <w:szCs w:val="16"/>
      <w:lang w:val="ru-RU"/>
    </w:rPr>
  </w:style>
  <w:style w:type="character" w:styleId="a7">
    <w:name w:val="Hyperlink"/>
    <w:uiPriority w:val="99"/>
    <w:rsid w:val="006E5B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1243</Words>
  <Characters>709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2022-10-06T07:25:00Z</dcterms:created>
  <dcterms:modified xsi:type="dcterms:W3CDTF">2022-10-07T05:24:00Z</dcterms:modified>
</cp:coreProperties>
</file>